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9000" w:type="dxa"/>
        <w:tblCellSpacing w:w="0" w:type="dxa"/>
        <w:tblCellMar>
          <w:left w:w="0" w:type="dxa"/>
          <w:right w:w="0" w:type="dxa"/>
        </w:tblCellMar>
        <w:tblLook w:val="04A0" w:firstRow="1" w:lastRow="0" w:firstColumn="1" w:lastColumn="0" w:noHBand="0" w:noVBand="1"/>
      </w:tblPr>
      <w:tblGrid>
        <w:gridCol w:w="9000"/>
      </w:tblGrid>
      <w:tr w:rsidR="00FA228D" w:rsidRPr="00041AF2" w14:paraId="1107C153" w14:textId="77777777" w:rsidTr="00165847">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4500"/>
              <w:gridCol w:w="4500"/>
            </w:tblGrid>
            <w:tr w:rsidR="00FA228D" w:rsidRPr="00041AF2" w14:paraId="58F5D9B1" w14:textId="77777777" w:rsidTr="00165847">
              <w:trPr>
                <w:tblCellSpacing w:w="0" w:type="dxa"/>
              </w:trPr>
              <w:tc>
                <w:tcPr>
                  <w:tcW w:w="2500" w:type="pct"/>
                  <w:shd w:val="clear" w:color="auto" w:fill="DDEAF2"/>
                  <w:hideMark/>
                </w:tcPr>
                <w:tbl>
                  <w:tblPr>
                    <w:tblW w:w="5000" w:type="pct"/>
                    <w:tblCellSpacing w:w="0" w:type="dxa"/>
                    <w:tblCellMar>
                      <w:left w:w="0" w:type="dxa"/>
                      <w:right w:w="0" w:type="dxa"/>
                    </w:tblCellMar>
                    <w:tblLook w:val="04A0" w:firstRow="1" w:lastRow="0" w:firstColumn="1" w:lastColumn="0" w:noHBand="0" w:noVBand="1"/>
                  </w:tblPr>
                  <w:tblGrid>
                    <w:gridCol w:w="4500"/>
                  </w:tblGrid>
                  <w:tr w:rsidR="00FA228D" w:rsidRPr="000957D0" w14:paraId="72A99D93" w14:textId="77777777" w:rsidTr="00165847">
                    <w:trPr>
                      <w:tblCellSpacing w:w="0" w:type="dxa"/>
                    </w:trPr>
                    <w:tc>
                      <w:tcPr>
                        <w:tcW w:w="0" w:type="auto"/>
                        <w:shd w:val="clear" w:color="auto" w:fill="DDEAF2"/>
                        <w:tcMar>
                          <w:top w:w="150" w:type="dxa"/>
                          <w:left w:w="150" w:type="dxa"/>
                          <w:bottom w:w="150" w:type="dxa"/>
                          <w:right w:w="150" w:type="dxa"/>
                        </w:tcMar>
                        <w:hideMark/>
                      </w:tcPr>
                      <w:tbl>
                        <w:tblPr>
                          <w:tblW w:w="5000" w:type="pct"/>
                          <w:tblCellSpacing w:w="0" w:type="dxa"/>
                          <w:tblCellMar>
                            <w:left w:w="0" w:type="dxa"/>
                            <w:right w:w="0" w:type="dxa"/>
                          </w:tblCellMar>
                          <w:tblLook w:val="04A0" w:firstRow="1" w:lastRow="0" w:firstColumn="1" w:lastColumn="0" w:noHBand="0" w:noVBand="1"/>
                        </w:tblPr>
                        <w:tblGrid>
                          <w:gridCol w:w="4190"/>
                        </w:tblGrid>
                        <w:tr w:rsidR="00FA228D" w:rsidRPr="00FA228D" w14:paraId="600DF1CC" w14:textId="77777777" w:rsidTr="00FA228D">
                          <w:trPr>
                            <w:tblCellSpacing w:w="0" w:type="dxa"/>
                          </w:trPr>
                          <w:tc>
                            <w:tcPr>
                              <w:tcW w:w="0" w:type="auto"/>
                              <w:tcBorders>
                                <w:top w:val="single" w:sz="4" w:space="0" w:color="auto"/>
                                <w:left w:val="single" w:sz="4" w:space="0" w:color="auto"/>
                                <w:bottom w:val="single" w:sz="4" w:space="0" w:color="auto"/>
                                <w:right w:val="single" w:sz="4" w:space="0" w:color="auto"/>
                              </w:tcBorders>
                              <w:vAlign w:val="center"/>
                              <w:hideMark/>
                            </w:tcPr>
                            <w:p w14:paraId="31AF830A" w14:textId="0D5FAA22" w:rsidR="00FA228D" w:rsidRPr="00FA228D" w:rsidRDefault="00FA228D" w:rsidP="00293DBD">
                              <w:pPr>
                                <w:rPr>
                                  <w:rFonts w:eastAsia="Times New Roman" w:cstheme="minorHAnsi"/>
                                  <w:color w:val="000000"/>
                                  <w:lang w:eastAsia="de-DE"/>
                                </w:rPr>
                              </w:pPr>
                              <w:r w:rsidRPr="00FA228D">
                                <w:rPr>
                                  <w:rFonts w:eastAsia="Times New Roman" w:cstheme="minorHAnsi"/>
                                  <w:color w:val="000000"/>
                                  <w:lang w:eastAsia="de-DE"/>
                                </w:rPr>
                                <w:t xml:space="preserve">Anlass: </w:t>
                              </w:r>
                              <w:r w:rsidR="00293DBD">
                                <w:t>EU-Resolution zum Verbot von Ende-zu-Ende-Verschlüsselung in Chat-Diensten.</w:t>
                              </w:r>
                            </w:p>
                            <w:p w14:paraId="3542D5B9" w14:textId="3BE9888A" w:rsidR="00FA228D" w:rsidRPr="00042B53" w:rsidRDefault="00293DBD" w:rsidP="00165847">
                              <w:pPr>
                                <w:rPr>
                                  <w:rFonts w:eastAsia="Times New Roman" w:cstheme="minorHAnsi"/>
                                  <w:b/>
                                  <w:color w:val="000000"/>
                                  <w:lang w:eastAsia="de-DE"/>
                                </w:rPr>
                              </w:pPr>
                              <w:r>
                                <w:rPr>
                                  <w:b/>
                                </w:rPr>
                                <w:t>Einbau von Hintertüren in Ende-zu-Ende verschlüsselte Dienste.</w:t>
                              </w:r>
                            </w:p>
                          </w:tc>
                        </w:tr>
                      </w:tbl>
                      <w:p w14:paraId="120205EA" w14:textId="77777777" w:rsidR="00FA228D" w:rsidRPr="000957D0" w:rsidRDefault="00FA228D" w:rsidP="00165847">
                        <w:pPr>
                          <w:rPr>
                            <w:rFonts w:ascii="Times New Roman" w:eastAsia="Times New Roman" w:hAnsi="Times New Roman" w:cs="Times New Roman"/>
                            <w:color w:val="000000"/>
                            <w:lang w:eastAsia="de-DE"/>
                          </w:rPr>
                        </w:pPr>
                      </w:p>
                    </w:tc>
                  </w:tr>
                </w:tbl>
                <w:p w14:paraId="700EF9C0" w14:textId="77777777" w:rsidR="00FA228D" w:rsidRPr="000957D0" w:rsidRDefault="00FA228D" w:rsidP="00165847">
                  <w:pPr>
                    <w:rPr>
                      <w:rFonts w:ascii="Times New Roman" w:eastAsia="Times New Roman" w:hAnsi="Times New Roman" w:cs="Times New Roman"/>
                      <w:color w:val="000000"/>
                      <w:lang w:eastAsia="de-DE"/>
                    </w:rPr>
                  </w:pPr>
                </w:p>
              </w:tc>
              <w:tc>
                <w:tcPr>
                  <w:tcW w:w="2500" w:type="pct"/>
                  <w:shd w:val="clear" w:color="auto" w:fill="DDEAF2"/>
                  <w:hideMark/>
                </w:tcPr>
                <w:tbl>
                  <w:tblPr>
                    <w:tblW w:w="5000" w:type="pct"/>
                    <w:tblCellSpacing w:w="0" w:type="dxa"/>
                    <w:tblCellMar>
                      <w:left w:w="0" w:type="dxa"/>
                      <w:right w:w="0" w:type="dxa"/>
                    </w:tblCellMar>
                    <w:tblLook w:val="04A0" w:firstRow="1" w:lastRow="0" w:firstColumn="1" w:lastColumn="0" w:noHBand="0" w:noVBand="1"/>
                  </w:tblPr>
                  <w:tblGrid>
                    <w:gridCol w:w="4500"/>
                  </w:tblGrid>
                  <w:tr w:rsidR="00FA228D" w:rsidRPr="00041AF2" w14:paraId="2947BD32" w14:textId="77777777" w:rsidTr="00165847">
                    <w:trPr>
                      <w:tblCellSpacing w:w="0" w:type="dxa"/>
                    </w:trPr>
                    <w:tc>
                      <w:tcPr>
                        <w:tcW w:w="0" w:type="auto"/>
                        <w:shd w:val="clear" w:color="auto" w:fill="DDEAF2"/>
                        <w:tcMar>
                          <w:top w:w="150" w:type="dxa"/>
                          <w:left w:w="150" w:type="dxa"/>
                          <w:bottom w:w="150" w:type="dxa"/>
                          <w:right w:w="150" w:type="dxa"/>
                        </w:tcMar>
                        <w:hideMark/>
                      </w:tcPr>
                      <w:tbl>
                        <w:tblPr>
                          <w:tblW w:w="5000" w:type="pct"/>
                          <w:tblCellSpacing w:w="0" w:type="dxa"/>
                          <w:tblCellMar>
                            <w:left w:w="0" w:type="dxa"/>
                            <w:right w:w="0" w:type="dxa"/>
                          </w:tblCellMar>
                          <w:tblLook w:val="04A0" w:firstRow="1" w:lastRow="0" w:firstColumn="1" w:lastColumn="0" w:noHBand="0" w:noVBand="1"/>
                        </w:tblPr>
                        <w:tblGrid>
                          <w:gridCol w:w="4190"/>
                        </w:tblGrid>
                        <w:tr w:rsidR="00FA228D" w:rsidRPr="00041AF2" w14:paraId="1E9830B9" w14:textId="77777777" w:rsidTr="00FA228D">
                          <w:trPr>
                            <w:tblCellSpacing w:w="0" w:type="dxa"/>
                          </w:trPr>
                          <w:tc>
                            <w:tcPr>
                              <w:tcW w:w="0" w:type="auto"/>
                              <w:tcBorders>
                                <w:top w:val="single" w:sz="4" w:space="0" w:color="auto"/>
                                <w:left w:val="single" w:sz="4" w:space="0" w:color="auto"/>
                                <w:bottom w:val="single" w:sz="4" w:space="0" w:color="auto"/>
                                <w:right w:val="single" w:sz="4" w:space="0" w:color="auto"/>
                              </w:tcBorders>
                              <w:vAlign w:val="center"/>
                              <w:hideMark/>
                            </w:tcPr>
                            <w:p w14:paraId="09902394" w14:textId="28CB3CF1" w:rsidR="00FA228D" w:rsidRPr="00FA228D" w:rsidRDefault="00293DBD" w:rsidP="00165847">
                              <w:pPr>
                                <w:rPr>
                                  <w:rFonts w:eastAsia="Times New Roman" w:cstheme="minorHAnsi"/>
                                  <w:color w:val="000000"/>
                                  <w:lang w:eastAsia="de-DE"/>
                                </w:rPr>
                              </w:pPr>
                              <w:r>
                                <w:rPr>
                                  <w:rFonts w:eastAsia="Times New Roman" w:cstheme="minorHAnsi"/>
                                  <w:color w:val="000000"/>
                                  <w:lang w:eastAsia="de-DE"/>
                                </w:rPr>
                                <w:t xml:space="preserve">Unser </w:t>
                              </w:r>
                              <w:r w:rsidR="00FA228D" w:rsidRPr="00FA228D">
                                <w:rPr>
                                  <w:rFonts w:eastAsia="Times New Roman" w:cstheme="minorHAnsi"/>
                                  <w:color w:val="000000"/>
                                  <w:lang w:eastAsia="de-DE"/>
                                </w:rPr>
                                <w:t xml:space="preserve">Experte für </w:t>
                              </w:r>
                              <w:r w:rsidR="003B34F0">
                                <w:rPr>
                                  <w:rFonts w:eastAsia="Times New Roman" w:cstheme="minorHAnsi"/>
                                  <w:color w:val="000000"/>
                                  <w:lang w:eastAsia="de-DE"/>
                                </w:rPr>
                                <w:t xml:space="preserve">Datenschutz und </w:t>
                              </w:r>
                              <w:r w:rsidR="00FA228D" w:rsidRPr="00FA228D">
                                <w:rPr>
                                  <w:rFonts w:eastAsia="Times New Roman" w:cstheme="minorHAnsi"/>
                                  <w:color w:val="000000"/>
                                  <w:lang w:eastAsia="de-DE"/>
                                </w:rPr>
                                <w:t>Verschlüsselung:</w:t>
                              </w:r>
                            </w:p>
                            <w:p w14:paraId="79B19CBC" w14:textId="77777777" w:rsidR="00042B53" w:rsidRPr="00FA228D" w:rsidRDefault="00042B53" w:rsidP="00165847">
                              <w:pPr>
                                <w:rPr>
                                  <w:rFonts w:eastAsia="Times New Roman" w:cstheme="minorHAnsi"/>
                                  <w:color w:val="000000"/>
                                  <w:lang w:eastAsia="de-DE"/>
                                </w:rPr>
                              </w:pPr>
                            </w:p>
                            <w:p w14:paraId="2DD6CC70" w14:textId="77777777" w:rsidR="00FA228D" w:rsidRPr="00284C8D" w:rsidRDefault="00FA228D" w:rsidP="00165847">
                              <w:pPr>
                                <w:rPr>
                                  <w:rFonts w:eastAsia="Times New Roman" w:cstheme="minorHAnsi"/>
                                  <w:color w:val="000000"/>
                                  <w:lang w:val="en-US" w:eastAsia="de-DE"/>
                                </w:rPr>
                              </w:pPr>
                              <w:r w:rsidRPr="00284C8D">
                                <w:rPr>
                                  <w:rFonts w:eastAsia="Times New Roman" w:cstheme="minorHAnsi"/>
                                  <w:b/>
                                  <w:bCs/>
                                  <w:color w:val="000000"/>
                                  <w:lang w:val="en-US" w:eastAsia="de-DE"/>
                                </w:rPr>
                                <w:t xml:space="preserve">Robert Freudenreich, </w:t>
                              </w:r>
                            </w:p>
                            <w:p w14:paraId="246DAD25" w14:textId="55AD41B0" w:rsidR="00FA228D" w:rsidRPr="0024673C" w:rsidRDefault="00FA228D" w:rsidP="00165847">
                              <w:pPr>
                                <w:rPr>
                                  <w:rFonts w:eastAsia="Times New Roman" w:cstheme="minorHAnsi"/>
                                  <w:color w:val="000000"/>
                                  <w:lang w:val="en-US" w:eastAsia="de-DE"/>
                                </w:rPr>
                              </w:pPr>
                              <w:r w:rsidRPr="0024673C">
                                <w:rPr>
                                  <w:rFonts w:eastAsia="Times New Roman" w:cstheme="minorHAnsi"/>
                                  <w:b/>
                                  <w:bCs/>
                                  <w:color w:val="000000"/>
                                  <w:lang w:val="en-US" w:eastAsia="de-DE"/>
                                </w:rPr>
                                <w:t>CTO Boxcryptor | Secomba GmbH</w:t>
                              </w:r>
                            </w:p>
                          </w:tc>
                        </w:tr>
                      </w:tbl>
                      <w:p w14:paraId="4F91D93C" w14:textId="77777777" w:rsidR="00FA228D" w:rsidRPr="0024673C" w:rsidRDefault="00FA228D" w:rsidP="00165847">
                        <w:pPr>
                          <w:rPr>
                            <w:rFonts w:ascii="Times New Roman" w:eastAsia="Times New Roman" w:hAnsi="Times New Roman" w:cs="Times New Roman"/>
                            <w:color w:val="000000"/>
                            <w:lang w:val="en-US" w:eastAsia="de-DE"/>
                          </w:rPr>
                        </w:pPr>
                      </w:p>
                    </w:tc>
                  </w:tr>
                </w:tbl>
                <w:p w14:paraId="4031FE4E" w14:textId="77777777" w:rsidR="00FA228D" w:rsidRPr="0024673C" w:rsidRDefault="00FA228D" w:rsidP="00165847">
                  <w:pPr>
                    <w:rPr>
                      <w:rFonts w:ascii="Times New Roman" w:eastAsia="Times New Roman" w:hAnsi="Times New Roman" w:cs="Times New Roman"/>
                      <w:color w:val="000000"/>
                      <w:lang w:val="en-US" w:eastAsia="de-DE"/>
                    </w:rPr>
                  </w:pPr>
                </w:p>
              </w:tc>
            </w:tr>
          </w:tbl>
          <w:p w14:paraId="6AAD2F98" w14:textId="77777777" w:rsidR="00FA228D" w:rsidRPr="0024673C" w:rsidRDefault="00FA228D" w:rsidP="00165847">
            <w:pPr>
              <w:rPr>
                <w:rFonts w:ascii="Times New Roman" w:eastAsia="Times New Roman" w:hAnsi="Times New Roman" w:cs="Times New Roman"/>
                <w:color w:val="000000"/>
                <w:lang w:val="en-US" w:eastAsia="de-DE"/>
              </w:rPr>
            </w:pPr>
          </w:p>
        </w:tc>
      </w:tr>
    </w:tbl>
    <w:p w14:paraId="71903E3A" w14:textId="77777777" w:rsidR="00042B53" w:rsidRPr="00284C8D" w:rsidRDefault="00042B53" w:rsidP="001827CB">
      <w:pPr>
        <w:rPr>
          <w:lang w:val="en-US"/>
        </w:rPr>
      </w:pPr>
    </w:p>
    <w:p w14:paraId="24E6E6D2" w14:textId="23E85BD7" w:rsidR="00D079ED" w:rsidRDefault="005A12DF" w:rsidP="001827CB">
      <w:pPr>
        <w:rPr>
          <w:rFonts w:asciiTheme="majorHAnsi" w:eastAsiaTheme="majorEastAsia" w:hAnsiTheme="majorHAnsi" w:cstheme="majorBidi"/>
          <w:color w:val="2F5496" w:themeColor="accent1" w:themeShade="BF"/>
          <w:sz w:val="32"/>
          <w:szCs w:val="32"/>
        </w:rPr>
      </w:pPr>
      <w:r w:rsidRPr="005A12DF">
        <w:rPr>
          <w:rFonts w:asciiTheme="majorHAnsi" w:eastAsiaTheme="majorEastAsia" w:hAnsiTheme="majorHAnsi" w:cstheme="majorBidi"/>
          <w:color w:val="2F5496" w:themeColor="accent1" w:themeShade="BF"/>
          <w:sz w:val="32"/>
          <w:szCs w:val="32"/>
        </w:rPr>
        <w:t xml:space="preserve">Staatlich verordneter Einbau von Hintertüren? </w:t>
      </w:r>
    </w:p>
    <w:p w14:paraId="141FEBF0" w14:textId="51A73444" w:rsidR="00042B53" w:rsidRDefault="005A12DF" w:rsidP="001827CB">
      <w:pPr>
        <w:rPr>
          <w:rFonts w:asciiTheme="majorHAnsi" w:eastAsiaTheme="majorEastAsia" w:hAnsiTheme="majorHAnsi" w:cstheme="majorBidi"/>
          <w:color w:val="2F5496" w:themeColor="accent1" w:themeShade="BF"/>
          <w:sz w:val="32"/>
          <w:szCs w:val="32"/>
        </w:rPr>
      </w:pPr>
      <w:r w:rsidRPr="005A12DF">
        <w:rPr>
          <w:rFonts w:asciiTheme="majorHAnsi" w:eastAsiaTheme="majorEastAsia" w:hAnsiTheme="majorHAnsi" w:cstheme="majorBidi"/>
          <w:color w:val="2F5496" w:themeColor="accent1" w:themeShade="BF"/>
          <w:sz w:val="32"/>
          <w:szCs w:val="32"/>
        </w:rPr>
        <w:t>– Experte</w:t>
      </w:r>
      <w:r>
        <w:rPr>
          <w:rFonts w:asciiTheme="majorHAnsi" w:eastAsiaTheme="majorEastAsia" w:hAnsiTheme="majorHAnsi" w:cstheme="majorBidi"/>
          <w:color w:val="2F5496" w:themeColor="accent1" w:themeShade="BF"/>
          <w:sz w:val="32"/>
          <w:szCs w:val="32"/>
        </w:rPr>
        <w:t>n-</w:t>
      </w:r>
      <w:r w:rsidRPr="005A12DF">
        <w:rPr>
          <w:rFonts w:asciiTheme="majorHAnsi" w:eastAsiaTheme="majorEastAsia" w:hAnsiTheme="majorHAnsi" w:cstheme="majorBidi"/>
          <w:color w:val="2F5496" w:themeColor="accent1" w:themeShade="BF"/>
          <w:sz w:val="32"/>
          <w:szCs w:val="32"/>
        </w:rPr>
        <w:t>Kritik an der geplanten EU-Resolution zum Verbot von Ende-zu-Ende-Verschlüsselung in Chat-Diensten</w:t>
      </w:r>
      <w:r w:rsidR="006C2AA0">
        <w:rPr>
          <w:rFonts w:asciiTheme="majorHAnsi" w:eastAsiaTheme="majorEastAsia" w:hAnsiTheme="majorHAnsi" w:cstheme="majorBidi"/>
          <w:color w:val="2F5496" w:themeColor="accent1" w:themeShade="BF"/>
          <w:sz w:val="32"/>
          <w:szCs w:val="32"/>
        </w:rPr>
        <w:t xml:space="preserve"> und Positionspapier</w:t>
      </w:r>
    </w:p>
    <w:p w14:paraId="6009164E" w14:textId="77777777" w:rsidR="005A12DF" w:rsidRDefault="005A12DF" w:rsidP="001827CB">
      <w:pPr>
        <w:rPr>
          <w:rFonts w:ascii="Calibri" w:eastAsia="Times New Roman" w:hAnsi="Calibri" w:cs="Calibri"/>
          <w:color w:val="000000"/>
          <w:lang w:eastAsia="de-DE"/>
        </w:rPr>
      </w:pPr>
    </w:p>
    <w:p w14:paraId="662BC11C" w14:textId="168CFA4F" w:rsidR="00042B53" w:rsidRDefault="00D079ED" w:rsidP="00042B53">
      <w:r w:rsidRPr="00E27501">
        <w:rPr>
          <w:b/>
          <w:bCs/>
        </w:rPr>
        <w:t>Augsburg, 10. November 2020</w:t>
      </w:r>
      <w:r>
        <w:t xml:space="preserve"> – </w:t>
      </w:r>
      <w:r w:rsidR="005A12DF" w:rsidRPr="005A12DF">
        <w:t xml:space="preserve">Ein auf Freitag, den 6. November 2020 datiertes Dokument der deutschen Ratspräsidentschaft an die Delegationen der Mitgliedsstaaten im Rat gelangte am vergangenen Wochenende an die Öffentlichkeit. </w:t>
      </w:r>
      <w:r w:rsidR="005A12DF" w:rsidRPr="005A12DF">
        <w:rPr>
          <w:b/>
        </w:rPr>
        <w:t>Es enthält einen Beschluss zum Einbau von Hintertüren in Ende-zu-Ende-</w:t>
      </w:r>
      <w:r>
        <w:rPr>
          <w:b/>
        </w:rPr>
        <w:t>v</w:t>
      </w:r>
      <w:r w:rsidR="005A12DF" w:rsidRPr="005A12DF">
        <w:rPr>
          <w:b/>
        </w:rPr>
        <w:t>erschlüsselte Messenger-Apps wie WhatsApp und Signal.</w:t>
      </w:r>
      <w:r w:rsidR="005A12DF" w:rsidRPr="005A12DF">
        <w:t xml:space="preserve"> Dieses Papier ist laut einer ersten Meldung durch den ORF bereits beschlussfertig und wird voraussichtlich Anfang Dezember in einer Videokonferenz der Justiz- und Innenministerien der Mitgliedsstaaten beschlossen. Damit reagiert die Politik auf den jüngsten Terroranschlag in Wien.</w:t>
      </w:r>
      <w:r w:rsidR="00284C8D">
        <w:t xml:space="preserve"> </w:t>
      </w:r>
    </w:p>
    <w:p w14:paraId="396B67DD" w14:textId="687C67D8" w:rsidR="006C2AA0" w:rsidRDefault="006C2AA0" w:rsidP="00042B53"/>
    <w:p w14:paraId="07A8AC27" w14:textId="1498847A" w:rsidR="006C2AA0" w:rsidRDefault="006C2AA0" w:rsidP="00042B53">
      <w:r>
        <w:t>Lesen Sie hier unsere Stellungnahme und laden Sie</w:t>
      </w:r>
      <w:r w:rsidR="003D5462">
        <w:t xml:space="preserve"> unser </w:t>
      </w:r>
      <w:hyperlink r:id="rId11" w:history="1">
        <w:r w:rsidR="003D5462" w:rsidRPr="00602299">
          <w:rPr>
            <w:rStyle w:val="Hyperlink"/>
          </w:rPr>
          <w:t>Positionspapier</w:t>
        </w:r>
      </w:hyperlink>
      <w:r w:rsidR="003D5462">
        <w:t xml:space="preserve"> herunter.</w:t>
      </w:r>
    </w:p>
    <w:p w14:paraId="2834D983" w14:textId="77777777" w:rsidR="005A12DF" w:rsidRPr="00AB5C29" w:rsidRDefault="005A12DF" w:rsidP="00042B53"/>
    <w:p w14:paraId="770E11E2" w14:textId="091E9801" w:rsidR="00042B53" w:rsidRDefault="00284C8D" w:rsidP="00042B53">
      <w:pPr>
        <w:pStyle w:val="berschrift2"/>
      </w:pPr>
      <w:r>
        <w:t xml:space="preserve">Scharfe </w:t>
      </w:r>
      <w:r w:rsidR="00042B53">
        <w:t xml:space="preserve">Kritik </w:t>
      </w:r>
      <w:r w:rsidR="00844552">
        <w:t xml:space="preserve">an </w:t>
      </w:r>
      <w:r w:rsidR="004A5479">
        <w:t>politischer Instrumentalisierung</w:t>
      </w:r>
    </w:p>
    <w:p w14:paraId="71D10875" w14:textId="77777777" w:rsidR="00042B53" w:rsidRDefault="00042B53" w:rsidP="00042B53"/>
    <w:p w14:paraId="10AA90FC" w14:textId="45BDD5F4" w:rsidR="004A5479" w:rsidRDefault="004A5479" w:rsidP="004A5479">
      <w:r>
        <w:t xml:space="preserve">Das geplante Verbot von Ende-zu-Ende-Verschlüsselung in Messenger-Apps hebelt allerdings grundlegende Bestandteile unserer freiheitlich-demokratischen Gesellschaft aus – </w:t>
      </w:r>
      <w:proofErr w:type="gramStart"/>
      <w:r>
        <w:t>ohne dem vorgeschobenen Nutzen</w:t>
      </w:r>
      <w:proofErr w:type="gramEnd"/>
      <w:r>
        <w:t xml:space="preserve"> wirklich zu dienen. Die gesamte Bevölkerung wird unter Generalverdacht gestellt. Der Terroranschlag von Wien, der nun dafür instrumentalisiert wird, hätte dadurch nicht verhindert werden können. </w:t>
      </w:r>
    </w:p>
    <w:p w14:paraId="7A88DEFF" w14:textId="77777777" w:rsidR="004A5479" w:rsidRDefault="004A5479" w:rsidP="004A5479">
      <w:r>
        <w:t xml:space="preserve"> </w:t>
      </w:r>
    </w:p>
    <w:p w14:paraId="6FDFD977" w14:textId="77777777" w:rsidR="004A5479" w:rsidRDefault="004A5479" w:rsidP="004A5479">
      <w:r>
        <w:t>Hier bestand nach übereinstimmenden Presseberichten für die Behörden bereits vor der Tat sowohl hinreichender Verdacht als auch die strafrechtlichen Möglichkeiten, den Gefährder aus dem Verkehr zu ziehen. Die Vereitelung dieses Anschlags scheiterte nach gegenwärtigem Kenntnisstand nicht an mangelnden Informationen oder gar an verschlüsselten Nachrichten.</w:t>
      </w:r>
    </w:p>
    <w:p w14:paraId="79A69BBE" w14:textId="77777777" w:rsidR="004A5479" w:rsidRDefault="004A5479" w:rsidP="004A5479">
      <w:r>
        <w:t xml:space="preserve"> </w:t>
      </w:r>
    </w:p>
    <w:p w14:paraId="60843F70" w14:textId="1AF61BF7" w:rsidR="00EA2458" w:rsidRDefault="004A5479" w:rsidP="004A5479">
      <w:r>
        <w:t xml:space="preserve">Es </w:t>
      </w:r>
      <w:r w:rsidR="00DF4802">
        <w:t xml:space="preserve">wirkt wie </w:t>
      </w:r>
      <w:r>
        <w:t>eine Verhöhnung derer, die ihr Leben lassen mussten, dass der Anschlag nun zum Anlass genommen wird, die Privatsphäre aller Bürger in der Europäischen Union aufs Spiel zu setzen.</w:t>
      </w:r>
    </w:p>
    <w:p w14:paraId="627BC625" w14:textId="13A2D693" w:rsidR="001827CB" w:rsidRPr="004A5479" w:rsidRDefault="004A5479" w:rsidP="004A5479">
      <w:pPr>
        <w:pStyle w:val="berschrift2"/>
      </w:pPr>
      <w:r>
        <w:rPr>
          <w:b/>
          <w:lang w:eastAsia="de-DE"/>
        </w:rPr>
        <w:lastRenderedPageBreak/>
        <w:t xml:space="preserve">Experte </w:t>
      </w:r>
      <w:r w:rsidR="001827CB" w:rsidRPr="004A5479">
        <w:t xml:space="preserve">Robert Freudenreich, CTO von Boxcryptor, </w:t>
      </w:r>
      <w:r w:rsidR="00CA3410">
        <w:t xml:space="preserve">der </w:t>
      </w:r>
      <w:r w:rsidR="001827CB" w:rsidRPr="004A5479">
        <w:t>Verschlüsselungssoftware aus Augsburg</w:t>
      </w:r>
      <w:r>
        <w:t>: „Hintertüren sind Schwachstellen</w:t>
      </w:r>
      <w:r w:rsidR="00CA3410">
        <w:t>.</w:t>
      </w:r>
      <w:r>
        <w:t>“</w:t>
      </w:r>
    </w:p>
    <w:p w14:paraId="416D60EB" w14:textId="188F433C" w:rsidR="001827CB" w:rsidRPr="005045DF" w:rsidRDefault="004A5479" w:rsidP="001827CB">
      <w:pPr>
        <w:rPr>
          <w:rFonts w:ascii="Calibri" w:eastAsia="Times New Roman" w:hAnsi="Calibri" w:cs="Calibri"/>
          <w:color w:val="000000"/>
          <w:lang w:eastAsia="de-DE"/>
        </w:rPr>
      </w:pPr>
      <w:r>
        <w:rPr>
          <w:rFonts w:ascii="Calibri" w:eastAsia="Times New Roman" w:hAnsi="Calibri" w:cs="Calibri"/>
          <w:i/>
          <w:iCs/>
          <w:noProof/>
          <w:color w:val="000000"/>
          <w:lang w:eastAsia="de-DE"/>
        </w:rPr>
        <w:drawing>
          <wp:anchor distT="0" distB="0" distL="114300" distR="114300" simplePos="0" relativeHeight="251658240" behindDoc="0" locked="0" layoutInCell="1" allowOverlap="1" wp14:anchorId="718DE09B" wp14:editId="599823FA">
            <wp:simplePos x="0" y="0"/>
            <wp:positionH relativeFrom="margin">
              <wp:posOffset>7109</wp:posOffset>
            </wp:positionH>
            <wp:positionV relativeFrom="margin">
              <wp:posOffset>539167</wp:posOffset>
            </wp:positionV>
            <wp:extent cx="1648460" cy="2198370"/>
            <wp:effectExtent l="0" t="0" r="2540" b="0"/>
            <wp:wrapSquare wrapText="bothSides"/>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obert_0207.jpg"/>
                    <pic:cNvPicPr/>
                  </pic:nvPicPr>
                  <pic:blipFill>
                    <a:blip r:embed="rId12">
                      <a:extLst>
                        <a:ext uri="{28A0092B-C50C-407E-A947-70E740481C1C}">
                          <a14:useLocalDpi xmlns:a14="http://schemas.microsoft.com/office/drawing/2010/main" val="0"/>
                        </a:ext>
                      </a:extLst>
                    </a:blip>
                    <a:stretch>
                      <a:fillRect/>
                    </a:stretch>
                  </pic:blipFill>
                  <pic:spPr>
                    <a:xfrm>
                      <a:off x="0" y="0"/>
                      <a:ext cx="1648460" cy="2198370"/>
                    </a:xfrm>
                    <a:prstGeom prst="rect">
                      <a:avLst/>
                    </a:prstGeom>
                  </pic:spPr>
                </pic:pic>
              </a:graphicData>
            </a:graphic>
            <wp14:sizeRelH relativeFrom="margin">
              <wp14:pctWidth>0</wp14:pctWidth>
            </wp14:sizeRelH>
            <wp14:sizeRelV relativeFrom="margin">
              <wp14:pctHeight>0</wp14:pctHeight>
            </wp14:sizeRelV>
          </wp:anchor>
        </w:drawing>
      </w:r>
      <w:r w:rsidR="001827CB" w:rsidRPr="005045DF">
        <w:rPr>
          <w:rFonts w:ascii="Calibri" w:eastAsia="Times New Roman" w:hAnsi="Calibri" w:cs="Calibri"/>
          <w:color w:val="000000"/>
          <w:lang w:eastAsia="de-DE"/>
        </w:rPr>
        <w:t> </w:t>
      </w:r>
    </w:p>
    <w:p w14:paraId="77409AF4" w14:textId="77777777" w:rsidR="004A5479" w:rsidRPr="004A5479" w:rsidRDefault="004A5479" w:rsidP="004A5479">
      <w:pPr>
        <w:rPr>
          <w:rFonts w:ascii="Calibri" w:eastAsia="Times New Roman" w:hAnsi="Calibri" w:cs="Calibri"/>
          <w:iCs/>
          <w:color w:val="000000"/>
          <w:lang w:eastAsia="de-DE"/>
        </w:rPr>
      </w:pPr>
      <w:r w:rsidRPr="004A5479">
        <w:rPr>
          <w:rFonts w:ascii="Calibri" w:eastAsia="Times New Roman" w:hAnsi="Calibri" w:cs="Calibri"/>
          <w:iCs/>
          <w:color w:val="000000"/>
          <w:lang w:eastAsia="de-DE"/>
        </w:rPr>
        <w:t>Aber auch technische Gründe sprechen aus Expertensicht gegen den Einbau von Hintertüren in Verschlüsselungssoftware. Robert Freudenreich, Mitbegründer und CTO der Secomba GmbH, einer Softwarefirma für Verschlüsselung mit Sitz in Augsburg, hat sich seit fast zehn Jahren voll und ganz dem Thema Datenschutz verschrieben. Das Produkt Boxcryptor ist für den verschlüsselten Datenaustausch über Cloud-Speicherdienste entwickelt worden. Aus jahrelanger Erfahrung weiß er:</w:t>
      </w:r>
    </w:p>
    <w:p w14:paraId="048583AC" w14:textId="77777777" w:rsidR="004A5479" w:rsidRPr="004A5479" w:rsidRDefault="004A5479" w:rsidP="004A5479">
      <w:pPr>
        <w:rPr>
          <w:rFonts w:ascii="Calibri" w:eastAsia="Times New Roman" w:hAnsi="Calibri" w:cs="Calibri"/>
          <w:i/>
          <w:iCs/>
          <w:color w:val="000000"/>
          <w:lang w:eastAsia="de-DE"/>
        </w:rPr>
      </w:pPr>
      <w:r w:rsidRPr="004A5479">
        <w:rPr>
          <w:rFonts w:ascii="Calibri" w:eastAsia="Times New Roman" w:hAnsi="Calibri" w:cs="Calibri"/>
          <w:i/>
          <w:iCs/>
          <w:color w:val="000000"/>
          <w:lang w:eastAsia="de-DE"/>
        </w:rPr>
        <w:t xml:space="preserve"> </w:t>
      </w:r>
    </w:p>
    <w:p w14:paraId="111908DF" w14:textId="77777777" w:rsidR="004A5479" w:rsidRPr="004A5479" w:rsidRDefault="004A5479" w:rsidP="004A5479">
      <w:pPr>
        <w:rPr>
          <w:rFonts w:ascii="Calibri" w:eastAsia="Times New Roman" w:hAnsi="Calibri" w:cs="Calibri"/>
          <w:i/>
          <w:iCs/>
          <w:color w:val="000000"/>
          <w:lang w:eastAsia="de-DE"/>
        </w:rPr>
      </w:pPr>
      <w:r w:rsidRPr="004A5479">
        <w:rPr>
          <w:rFonts w:ascii="Calibri" w:eastAsia="Times New Roman" w:hAnsi="Calibri" w:cs="Calibri"/>
          <w:i/>
          <w:iCs/>
          <w:color w:val="000000"/>
          <w:lang w:eastAsia="de-DE"/>
        </w:rPr>
        <w:t xml:space="preserve">„Hintertüren und Ende-zu-Ende-Verschlüsselung schließen sich gegenseitig aus. Eine Verschlüsselung mit Hintertür ist eine Schwachstelle.” </w:t>
      </w:r>
      <w:r w:rsidRPr="004A5479">
        <w:rPr>
          <w:rFonts w:ascii="Calibri" w:eastAsia="Times New Roman" w:hAnsi="Calibri" w:cs="Calibri"/>
          <w:iCs/>
          <w:color w:val="000000"/>
          <w:lang w:eastAsia="de-DE"/>
        </w:rPr>
        <w:t>Robert Freudenreich warnt weiter:</w:t>
      </w:r>
      <w:r w:rsidRPr="004A5479">
        <w:rPr>
          <w:rFonts w:ascii="Calibri" w:eastAsia="Times New Roman" w:hAnsi="Calibri" w:cs="Calibri"/>
          <w:i/>
          <w:iCs/>
          <w:color w:val="000000"/>
          <w:lang w:eastAsia="de-DE"/>
        </w:rPr>
        <w:t xml:space="preserve"> “Das geplante Hinterlegen von Entschlüsselungs-Informationen bei Behörden birgt enorme Risiken. So könnten Mitarbeiter und Mitarbeiterinnen von Behörden auf eine Unmenge an privater Kommunikation zugreifen. Die jüngst bekannt gewordenen Abfrage persönlicher Informationen von Polizeirechnern aus unterstreichen diese Befürchtungen. Auch ist es nicht unwahrscheinlich, dass solche Generalschlüssel sehr schnell in falsche Hände geraten.”</w:t>
      </w:r>
    </w:p>
    <w:p w14:paraId="08760D03" w14:textId="77777777" w:rsidR="004A5479" w:rsidRPr="004A5479" w:rsidRDefault="004A5479" w:rsidP="004A5479">
      <w:pPr>
        <w:rPr>
          <w:rFonts w:ascii="Calibri" w:eastAsia="Times New Roman" w:hAnsi="Calibri" w:cs="Calibri"/>
          <w:i/>
          <w:iCs/>
          <w:color w:val="000000"/>
          <w:lang w:eastAsia="de-DE"/>
        </w:rPr>
      </w:pPr>
    </w:p>
    <w:p w14:paraId="7DC02A50" w14:textId="318136B2" w:rsidR="00042B53" w:rsidRPr="00AB5C29" w:rsidRDefault="004A5479" w:rsidP="004A5479">
      <w:r w:rsidRPr="004A5479">
        <w:rPr>
          <w:rFonts w:ascii="Calibri" w:eastAsia="Times New Roman" w:hAnsi="Calibri" w:cs="Calibri"/>
          <w:iCs/>
          <w:color w:val="000000"/>
          <w:lang w:eastAsia="de-DE"/>
        </w:rPr>
        <w:t xml:space="preserve">Seine Befürchtungen fasst der Technische Leiter wie folgt zusammen: </w:t>
      </w:r>
      <w:r w:rsidRPr="004A5479">
        <w:rPr>
          <w:rFonts w:ascii="Calibri" w:eastAsia="Times New Roman" w:hAnsi="Calibri" w:cs="Calibri"/>
          <w:i/>
          <w:iCs/>
          <w:color w:val="000000"/>
          <w:lang w:eastAsia="de-DE"/>
        </w:rPr>
        <w:t>„Es gehört zum kleinen Einmaleins der Kryptographie, dass Hintertüren niemals nur einer Instanz zur Verfügung stehen. Grundsätzlich kann jede Schwachstelle auch von Unbefugten ausgenutzt werden. Die Folge sind unsichere Kommunikationsplattformen für ehrliche Bürger und Bürgerinnen. Kriminelle dagegen finden immer neue Wege, ihre Spuren zu verwischen. Alle unter Generalverdacht zu stellen, kann niemals die Lösung sein.“</w:t>
      </w:r>
    </w:p>
    <w:p w14:paraId="502443E9" w14:textId="77777777" w:rsidR="00042B53" w:rsidRDefault="00042B53" w:rsidP="00042B53">
      <w:pPr>
        <w:rPr>
          <w:b/>
        </w:rPr>
      </w:pPr>
    </w:p>
    <w:p w14:paraId="41CBF25B" w14:textId="74FE4830" w:rsidR="004A2B12" w:rsidRDefault="004A5479" w:rsidP="00042B53">
      <w:pPr>
        <w:pStyle w:val="berschrift2"/>
      </w:pPr>
      <w:r>
        <w:t>Die Resolution muss im Papiermüll verschwinden</w:t>
      </w:r>
    </w:p>
    <w:p w14:paraId="481D6E64" w14:textId="77777777" w:rsidR="004A2B12" w:rsidRDefault="004A2B12" w:rsidP="00042B53">
      <w:pPr>
        <w:rPr>
          <w:rFonts w:asciiTheme="majorHAnsi" w:eastAsiaTheme="majorEastAsia" w:hAnsiTheme="majorHAnsi" w:cstheme="majorBidi"/>
          <w:color w:val="2F5496" w:themeColor="accent1" w:themeShade="BF"/>
          <w:sz w:val="26"/>
          <w:szCs w:val="26"/>
        </w:rPr>
      </w:pPr>
    </w:p>
    <w:p w14:paraId="4B4FFB5F" w14:textId="37B7035F" w:rsidR="00CD65BA" w:rsidRDefault="004A5479" w:rsidP="001827CB">
      <w:pPr>
        <w:pBdr>
          <w:bottom w:val="single" w:sz="12" w:space="1" w:color="auto"/>
        </w:pBdr>
      </w:pPr>
      <w:r w:rsidRPr="004A5479">
        <w:t xml:space="preserve">Privatsphäre ist ein hohes Gut, dessen Schutz weit über vorgeschobene sicherheitspolitische Interessen und </w:t>
      </w:r>
      <w:r w:rsidR="00284C8D">
        <w:t>kurzfristig</w:t>
      </w:r>
      <w:r w:rsidR="00284C8D" w:rsidRPr="004A5479">
        <w:t xml:space="preserve"> </w:t>
      </w:r>
      <w:r w:rsidRPr="004A5479">
        <w:t>konstruierte Affekt-Maßnahmen hinausgehen sollte. Die jüngsten Entwürfe der EU torpedieren dies</w:t>
      </w:r>
      <w:r w:rsidR="00DF4802">
        <w:t xml:space="preserve">es Gut </w:t>
      </w:r>
      <w:r w:rsidRPr="004A5479">
        <w:t xml:space="preserve">mit aller Macht. Robert Freudenreich und die Secomba GmbH fordern den Europäischen Rat deshalb dazu auf, die Resolution in dieser Form nicht weiterzuverfolgen. Die Europäische Union genießt Dank DS-GVO und </w:t>
      </w:r>
      <w:proofErr w:type="spellStart"/>
      <w:r w:rsidRPr="004A5479">
        <w:t>ePrivacy</w:t>
      </w:r>
      <w:proofErr w:type="spellEnd"/>
      <w:r w:rsidRPr="004A5479">
        <w:t>-Verordnung ein hohes Ansehen, wenn es um Datenschutz und Privatsphäre geht. Es wäre erstrebenswert, dies auch in Zukunft aufrechtzuerhalten.</w:t>
      </w:r>
    </w:p>
    <w:p w14:paraId="030926C3" w14:textId="1120B2C0" w:rsidR="003D5462" w:rsidRDefault="003D5462" w:rsidP="001827CB">
      <w:pPr>
        <w:pBdr>
          <w:bottom w:val="single" w:sz="12" w:space="1" w:color="auto"/>
        </w:pBdr>
      </w:pPr>
    </w:p>
    <w:p w14:paraId="2E76342A" w14:textId="02F17D82" w:rsidR="003D5462" w:rsidRDefault="003D5462" w:rsidP="001827CB">
      <w:pPr>
        <w:pBdr>
          <w:bottom w:val="single" w:sz="12" w:space="1" w:color="auto"/>
        </w:pBdr>
      </w:pPr>
      <w:r>
        <w:t xml:space="preserve">Am 10. November 2020 versendet die Secomba GmbH folgendes </w:t>
      </w:r>
      <w:r w:rsidRPr="00602299">
        <w:rPr>
          <w:b/>
        </w:rPr>
        <w:t>Positionspapier</w:t>
      </w:r>
      <w:r>
        <w:t xml:space="preserve"> zur Ende-zu-Ende-Verschlüsselung an Abgeordnete im Europaparlament: </w:t>
      </w:r>
      <w:r w:rsidRPr="00602299">
        <w:rPr>
          <w:i/>
        </w:rPr>
        <w:t>Vertrauliche Kommunikation ist eine Grundstütze unserer freiheitlich-demokratischen Gesellschaft und muss deshalb unbedingt erhalten bleiben</w:t>
      </w:r>
      <w:r w:rsidR="00602299">
        <w:rPr>
          <w:i/>
        </w:rPr>
        <w:t>.</w:t>
      </w:r>
    </w:p>
    <w:p w14:paraId="40BAFD33" w14:textId="60907514" w:rsidR="003D5462" w:rsidRDefault="003D5462" w:rsidP="001827CB">
      <w:pPr>
        <w:pBdr>
          <w:bottom w:val="single" w:sz="12" w:space="1" w:color="auto"/>
        </w:pBdr>
      </w:pPr>
    </w:p>
    <w:p w14:paraId="20E85B28" w14:textId="7094EA35" w:rsidR="003D5462" w:rsidRPr="00041AF2" w:rsidRDefault="003D5462" w:rsidP="001827CB">
      <w:pPr>
        <w:pBdr>
          <w:bottom w:val="single" w:sz="12" w:space="1" w:color="auto"/>
        </w:pBdr>
        <w:rPr>
          <w:lang w:val="en-US"/>
        </w:rPr>
      </w:pPr>
      <w:r w:rsidRPr="00041AF2">
        <w:rPr>
          <w:b/>
          <w:bCs/>
          <w:lang w:val="en-US"/>
        </w:rPr>
        <w:t>Download-Link:</w:t>
      </w:r>
      <w:r w:rsidRPr="00041AF2">
        <w:rPr>
          <w:lang w:val="en-US"/>
        </w:rPr>
        <w:t xml:space="preserve"> </w:t>
      </w:r>
      <w:hyperlink r:id="rId13" w:history="1">
        <w:r w:rsidR="00041AF2" w:rsidRPr="00041AF2">
          <w:rPr>
            <w:rStyle w:val="Hyperlink"/>
            <w:lang w:val="en-US"/>
          </w:rPr>
          <w:t>https://static.secomba.com/press-releases/de/Positionspapier_Boxcryptor_E2EE_EU_Resolution</w:t>
        </w:r>
      </w:hyperlink>
    </w:p>
    <w:p w14:paraId="63A4C290" w14:textId="77777777" w:rsidR="004A5479" w:rsidRPr="00041AF2" w:rsidRDefault="004A5479" w:rsidP="001827CB">
      <w:pPr>
        <w:pBdr>
          <w:bottom w:val="single" w:sz="12" w:space="1" w:color="auto"/>
        </w:pBdr>
        <w:rPr>
          <w:rFonts w:ascii="Calibri" w:eastAsia="Times New Roman" w:hAnsi="Calibri" w:cs="Calibri"/>
          <w:color w:val="000000"/>
          <w:lang w:val="en-US" w:eastAsia="de-DE"/>
        </w:rPr>
      </w:pPr>
    </w:p>
    <w:p w14:paraId="566B4E14" w14:textId="77777777" w:rsidR="00CD65BA" w:rsidRPr="00041AF2" w:rsidRDefault="00CD65BA" w:rsidP="00CD65BA">
      <w:pPr>
        <w:rPr>
          <w:rFonts w:eastAsia="Times New Roman" w:cstheme="minorHAnsi"/>
          <w:b/>
          <w:bCs/>
          <w:color w:val="000000"/>
          <w:lang w:val="en-US" w:eastAsia="de-DE"/>
        </w:rPr>
      </w:pPr>
    </w:p>
    <w:p w14:paraId="663F5C0B" w14:textId="056893A9" w:rsidR="003D5462" w:rsidRPr="00041AF2" w:rsidRDefault="003D5462">
      <w:pPr>
        <w:rPr>
          <w:rFonts w:eastAsia="Times New Roman" w:cstheme="minorHAnsi"/>
          <w:b/>
          <w:bCs/>
          <w:color w:val="000000"/>
          <w:lang w:val="en-US" w:eastAsia="de-DE"/>
        </w:rPr>
      </w:pPr>
    </w:p>
    <w:p w14:paraId="6D9F4043" w14:textId="1C438B2F" w:rsidR="00CD65BA" w:rsidRPr="00CD65BA" w:rsidRDefault="00FB7E2D" w:rsidP="00CD65BA">
      <w:pPr>
        <w:rPr>
          <w:rFonts w:eastAsia="Times New Roman" w:cstheme="minorHAnsi"/>
          <w:color w:val="000000"/>
          <w:lang w:eastAsia="de-DE"/>
        </w:rPr>
      </w:pPr>
      <w:r>
        <w:rPr>
          <w:rFonts w:eastAsia="Times New Roman" w:cstheme="minorHAnsi"/>
          <w:b/>
          <w:bCs/>
          <w:color w:val="000000"/>
          <w:lang w:eastAsia="de-DE"/>
        </w:rPr>
        <w:t>D</w:t>
      </w:r>
      <w:r w:rsidR="00C714D2">
        <w:rPr>
          <w:rFonts w:eastAsia="Times New Roman" w:cstheme="minorHAnsi"/>
          <w:b/>
          <w:bCs/>
          <w:color w:val="000000"/>
          <w:lang w:eastAsia="de-DE"/>
        </w:rPr>
        <w:t xml:space="preserve">as </w:t>
      </w:r>
      <w:r w:rsidR="009C3843">
        <w:rPr>
          <w:rFonts w:eastAsia="Times New Roman" w:cstheme="minorHAnsi"/>
          <w:b/>
          <w:bCs/>
          <w:color w:val="000000"/>
          <w:lang w:eastAsia="de-DE"/>
        </w:rPr>
        <w:t xml:space="preserve">ist </w:t>
      </w:r>
      <w:r w:rsidR="00CD65BA" w:rsidRPr="00CD65BA">
        <w:rPr>
          <w:rFonts w:eastAsia="Times New Roman" w:cstheme="minorHAnsi"/>
          <w:b/>
          <w:bCs/>
          <w:color w:val="000000"/>
          <w:lang w:eastAsia="de-DE"/>
        </w:rPr>
        <w:t>Ihre Ansprechpartnerin für Nachfragen:</w:t>
      </w:r>
    </w:p>
    <w:p w14:paraId="117132DE" w14:textId="77777777" w:rsidR="00CD65BA" w:rsidRPr="000957D0" w:rsidRDefault="00CD65BA" w:rsidP="00CD65BA">
      <w:pPr>
        <w:rPr>
          <w:rFonts w:ascii="Times New Roman" w:eastAsia="Times New Roman" w:hAnsi="Times New Roman" w:cs="Times New Roman"/>
          <w:color w:val="000000"/>
          <w:lang w:eastAsia="de-DE"/>
        </w:rPr>
      </w:pPr>
    </w:p>
    <w:p w14:paraId="1E043B76" w14:textId="77777777" w:rsidR="00854059" w:rsidRDefault="00CD65BA" w:rsidP="00CD65BA">
      <w:pPr>
        <w:rPr>
          <w:rFonts w:eastAsia="Times New Roman" w:cstheme="minorHAnsi"/>
          <w:color w:val="000000"/>
          <w:lang w:eastAsia="de-DE"/>
        </w:rPr>
      </w:pPr>
      <w:r w:rsidRPr="00064B17">
        <w:rPr>
          <w:rFonts w:eastAsia="Times New Roman" w:cstheme="minorHAnsi"/>
          <w:b/>
          <w:bCs/>
          <w:color w:val="000000"/>
          <w:lang w:eastAsia="de-DE"/>
        </w:rPr>
        <w:t>Secomba GmbH</w:t>
      </w:r>
      <w:r w:rsidRPr="00064B17">
        <w:rPr>
          <w:rFonts w:eastAsia="Times New Roman" w:cstheme="minorHAnsi"/>
          <w:color w:val="000000"/>
          <w:lang w:eastAsia="de-DE"/>
        </w:rPr>
        <w:t xml:space="preserve">                                        </w:t>
      </w:r>
      <w:r w:rsidRPr="00064B17">
        <w:rPr>
          <w:rFonts w:eastAsia="Times New Roman" w:cstheme="minorHAnsi"/>
          <w:color w:val="000000"/>
          <w:lang w:eastAsia="de-DE"/>
        </w:rPr>
        <w:tab/>
      </w:r>
      <w:r w:rsidRPr="00064B17">
        <w:rPr>
          <w:rFonts w:eastAsia="Times New Roman" w:cstheme="minorHAnsi"/>
          <w:color w:val="000000"/>
          <w:lang w:eastAsia="de-DE"/>
        </w:rPr>
        <w:tab/>
      </w:r>
      <w:hyperlink r:id="rId14" w:history="1">
        <w:r w:rsidRPr="00064B17">
          <w:rPr>
            <w:rStyle w:val="Hyperlink"/>
            <w:rFonts w:eastAsia="Times New Roman" w:cstheme="minorHAnsi"/>
            <w:lang w:eastAsia="de-DE"/>
          </w:rPr>
          <w:t>www.boxcryptor.com</w:t>
        </w:r>
      </w:hyperlink>
      <w:r w:rsidRPr="00064B17">
        <w:rPr>
          <w:rFonts w:eastAsia="Times New Roman" w:cstheme="minorHAnsi"/>
          <w:color w:val="000000"/>
          <w:lang w:eastAsia="de-DE"/>
        </w:rPr>
        <w:br/>
        <w:t>Lisa Figas                                                      </w:t>
      </w:r>
      <w:r w:rsidRPr="00064B17">
        <w:rPr>
          <w:rFonts w:eastAsia="Times New Roman" w:cstheme="minorHAnsi"/>
          <w:color w:val="000000"/>
          <w:lang w:eastAsia="de-DE"/>
        </w:rPr>
        <w:tab/>
      </w:r>
      <w:r w:rsidRPr="00064B17">
        <w:rPr>
          <w:rFonts w:eastAsia="Times New Roman" w:cstheme="minorHAnsi"/>
          <w:color w:val="000000"/>
          <w:lang w:eastAsia="de-DE"/>
        </w:rPr>
        <w:tab/>
      </w:r>
      <w:proofErr w:type="spellStart"/>
      <w:r w:rsidRPr="00064B17">
        <w:rPr>
          <w:rFonts w:eastAsia="Times New Roman" w:cstheme="minorHAnsi"/>
          <w:color w:val="000000"/>
          <w:lang w:eastAsia="de-DE"/>
        </w:rPr>
        <w:t>tel</w:t>
      </w:r>
      <w:proofErr w:type="spellEnd"/>
      <w:r w:rsidRPr="00064B17">
        <w:rPr>
          <w:rFonts w:eastAsia="Times New Roman" w:cstheme="minorHAnsi"/>
          <w:color w:val="000000"/>
          <w:lang w:eastAsia="de-DE"/>
        </w:rPr>
        <w:t>: +49 (0821) 907 861 57</w:t>
      </w:r>
      <w:r w:rsidRPr="00064B17">
        <w:rPr>
          <w:rFonts w:eastAsia="Times New Roman" w:cstheme="minorHAnsi"/>
          <w:color w:val="000000"/>
          <w:lang w:eastAsia="de-DE"/>
        </w:rPr>
        <w:br/>
        <w:t>Werner-von-Siemens-Str. 6                          </w:t>
      </w:r>
      <w:r w:rsidRPr="00064B17">
        <w:rPr>
          <w:rFonts w:eastAsia="Times New Roman" w:cstheme="minorHAnsi"/>
          <w:color w:val="000000"/>
          <w:lang w:eastAsia="de-DE"/>
        </w:rPr>
        <w:tab/>
      </w:r>
      <w:r w:rsidRPr="00064B17">
        <w:rPr>
          <w:rFonts w:eastAsia="Times New Roman" w:cstheme="minorHAnsi"/>
          <w:color w:val="000000"/>
          <w:lang w:eastAsia="de-DE"/>
        </w:rPr>
        <w:tab/>
        <w:t>fax: +49 (0821) 907 861 59  </w:t>
      </w:r>
      <w:r w:rsidRPr="00064B17">
        <w:rPr>
          <w:rFonts w:eastAsia="Times New Roman" w:cstheme="minorHAnsi"/>
          <w:color w:val="000000"/>
          <w:lang w:eastAsia="de-DE"/>
        </w:rPr>
        <w:br/>
        <w:t>86159 Augsburg                                           </w:t>
      </w:r>
      <w:r w:rsidRPr="00064B17">
        <w:rPr>
          <w:rFonts w:eastAsia="Times New Roman" w:cstheme="minorHAnsi"/>
          <w:color w:val="000000"/>
          <w:lang w:eastAsia="de-DE"/>
        </w:rPr>
        <w:tab/>
      </w:r>
      <w:r w:rsidRPr="00064B17">
        <w:rPr>
          <w:rFonts w:eastAsia="Times New Roman" w:cstheme="minorHAnsi"/>
          <w:color w:val="000000"/>
          <w:lang w:eastAsia="de-DE"/>
        </w:rPr>
        <w:tab/>
        <w:t xml:space="preserve">mail: </w:t>
      </w:r>
      <w:hyperlink r:id="rId15" w:history="1">
        <w:r w:rsidRPr="00064B17">
          <w:rPr>
            <w:rFonts w:eastAsia="Times New Roman" w:cstheme="minorHAnsi"/>
            <w:color w:val="0000FF"/>
            <w:u w:val="single"/>
            <w:lang w:eastAsia="de-DE"/>
          </w:rPr>
          <w:t>lf@secomba.com</w:t>
        </w:r>
      </w:hyperlink>
      <w:r w:rsidRPr="00064B17">
        <w:rPr>
          <w:rFonts w:eastAsia="Times New Roman" w:cstheme="minorHAnsi"/>
          <w:color w:val="000000"/>
          <w:lang w:eastAsia="de-DE"/>
        </w:rPr>
        <w:t>     </w:t>
      </w:r>
    </w:p>
    <w:p w14:paraId="619DDD6E" w14:textId="7A2E30D2" w:rsidR="00CD65BA" w:rsidRPr="005045DF" w:rsidRDefault="00CD65BA" w:rsidP="001827CB">
      <w:pPr>
        <w:rPr>
          <w:rFonts w:ascii="Calibri" w:eastAsia="Times New Roman" w:hAnsi="Calibri" w:cs="Calibri"/>
          <w:color w:val="000000"/>
          <w:lang w:eastAsia="de-DE"/>
        </w:rPr>
      </w:pPr>
      <w:r w:rsidRPr="00064B17">
        <w:rPr>
          <w:rFonts w:eastAsia="Times New Roman" w:cstheme="minorHAnsi"/>
          <w:color w:val="000000"/>
          <w:lang w:eastAsia="de-DE"/>
        </w:rPr>
        <w:t xml:space="preserve">       </w:t>
      </w:r>
    </w:p>
    <w:p w14:paraId="0044B223" w14:textId="77777777" w:rsidR="00526960" w:rsidRPr="005045DF" w:rsidRDefault="00526960">
      <w:pPr>
        <w:rPr>
          <w:rFonts w:cstheme="minorHAnsi"/>
        </w:rPr>
      </w:pPr>
    </w:p>
    <w:p w14:paraId="66728EC7" w14:textId="77777777" w:rsidR="007A739C" w:rsidRPr="005045DF" w:rsidRDefault="007A739C" w:rsidP="00CD65BA">
      <w:pPr>
        <w:pBdr>
          <w:top w:val="single" w:sz="4" w:space="1" w:color="auto"/>
          <w:left w:val="single" w:sz="4" w:space="4" w:color="auto"/>
          <w:bottom w:val="single" w:sz="4" w:space="1" w:color="auto"/>
          <w:right w:val="single" w:sz="4" w:space="4" w:color="auto"/>
        </w:pBdr>
        <w:rPr>
          <w:rFonts w:eastAsia="Times New Roman" w:cstheme="minorHAnsi"/>
          <w:color w:val="000000"/>
          <w:lang w:eastAsia="de-DE"/>
        </w:rPr>
      </w:pPr>
      <w:r w:rsidRPr="005045DF">
        <w:rPr>
          <w:rFonts w:eastAsia="Times New Roman" w:cstheme="minorHAnsi"/>
          <w:b/>
          <w:bCs/>
          <w:color w:val="000000"/>
          <w:lang w:eastAsia="de-DE"/>
        </w:rPr>
        <w:t>Über Boxcryptor</w:t>
      </w:r>
    </w:p>
    <w:p w14:paraId="53DC4C9F" w14:textId="77777777" w:rsidR="007A739C" w:rsidRPr="005045DF" w:rsidRDefault="007A739C" w:rsidP="00CD65BA">
      <w:pPr>
        <w:pBdr>
          <w:top w:val="single" w:sz="4" w:space="1" w:color="auto"/>
          <w:left w:val="single" w:sz="4" w:space="4" w:color="auto"/>
          <w:bottom w:val="single" w:sz="4" w:space="1" w:color="auto"/>
          <w:right w:val="single" w:sz="4" w:space="4" w:color="auto"/>
        </w:pBdr>
        <w:rPr>
          <w:rFonts w:eastAsia="Times New Roman" w:cstheme="minorHAnsi"/>
          <w:color w:val="000000"/>
          <w:lang w:eastAsia="de-DE"/>
        </w:rPr>
      </w:pPr>
      <w:r w:rsidRPr="005045DF">
        <w:rPr>
          <w:rFonts w:eastAsia="Times New Roman" w:cstheme="minorHAnsi"/>
          <w:color w:val="000000"/>
          <w:lang w:eastAsia="de-DE"/>
        </w:rPr>
        <w:t xml:space="preserve">Die Secomba GmbH ist ein deutsches Unternehmen und Hersteller von Boxcryptor, einer Cloud-optimierten Verschlüsselungslösung für Unternehmen und Privatpersonen. Das Unternehmen wurde 2011 von Andrea Pfundmeier und Robert Freudenreich gegründet. </w:t>
      </w:r>
      <w:proofErr w:type="spellStart"/>
      <w:r w:rsidRPr="005045DF">
        <w:rPr>
          <w:rFonts w:eastAsia="Times New Roman" w:cstheme="minorHAnsi"/>
          <w:color w:val="000000"/>
          <w:lang w:eastAsia="de-DE"/>
        </w:rPr>
        <w:t>Boxcryptors</w:t>
      </w:r>
      <w:proofErr w:type="spellEnd"/>
      <w:r w:rsidRPr="005045DF">
        <w:rPr>
          <w:rFonts w:eastAsia="Times New Roman" w:cstheme="minorHAnsi"/>
          <w:color w:val="000000"/>
          <w:lang w:eastAsia="de-DE"/>
        </w:rPr>
        <w:t xml:space="preserve"> integrierte Zero-Knowledge- und Ende-zu-Ende-Verschlüsselung schützt Daten in der Cloud vor unberechtigtem Zugriff und ermöglicht somit die sichere Nutzung zahlreicher Cloud-Dienste. Boxcryptor wird von führenden Unternehmen sowohl in Europa als auch weltweit zur sicheren Kollaboration in der Cloud genutzt. Erfahren Sie mehr auf </w:t>
      </w:r>
      <w:hyperlink r:id="rId16" w:tgtFrame="_blank" w:history="1">
        <w:r w:rsidRPr="005045DF">
          <w:rPr>
            <w:rFonts w:eastAsia="Times New Roman" w:cstheme="minorHAnsi"/>
            <w:color w:val="0000FF"/>
            <w:u w:val="single"/>
            <w:lang w:eastAsia="de-DE"/>
          </w:rPr>
          <w:t>www.boxcryptor.com</w:t>
        </w:r>
      </w:hyperlink>
      <w:r w:rsidRPr="005045DF">
        <w:rPr>
          <w:rFonts w:eastAsia="Times New Roman" w:cstheme="minorHAnsi"/>
          <w:color w:val="000000"/>
          <w:lang w:eastAsia="de-DE"/>
        </w:rPr>
        <w:t>.</w:t>
      </w:r>
    </w:p>
    <w:p w14:paraId="4574604E" w14:textId="77777777" w:rsidR="00526960" w:rsidRPr="005045DF" w:rsidRDefault="00526960">
      <w:pPr>
        <w:rPr>
          <w:rFonts w:cstheme="minorHAnsi"/>
        </w:rPr>
      </w:pPr>
    </w:p>
    <w:sectPr w:rsidR="00526960" w:rsidRPr="005045DF" w:rsidSect="00CF379B">
      <w:pgSz w:w="11900" w:h="16840"/>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FCE4A6B" w14:textId="77777777" w:rsidR="005110A4" w:rsidRDefault="005110A4" w:rsidP="00E27501">
      <w:r>
        <w:separator/>
      </w:r>
    </w:p>
  </w:endnote>
  <w:endnote w:type="continuationSeparator" w:id="0">
    <w:p w14:paraId="34238CF8" w14:textId="77777777" w:rsidR="005110A4" w:rsidRDefault="005110A4" w:rsidP="00E275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Segoe UI">
    <w:altName w:val="Arial"/>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D03D1D1" w14:textId="77777777" w:rsidR="005110A4" w:rsidRDefault="005110A4" w:rsidP="00E27501">
      <w:r>
        <w:separator/>
      </w:r>
    </w:p>
  </w:footnote>
  <w:footnote w:type="continuationSeparator" w:id="0">
    <w:p w14:paraId="0E65C597" w14:textId="77777777" w:rsidR="005110A4" w:rsidRDefault="005110A4" w:rsidP="00E2750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5571057C"/>
    <w:multiLevelType w:val="multilevel"/>
    <w:tmpl w:val="139808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5EBC0D9C"/>
    <w:multiLevelType w:val="hybridMultilevel"/>
    <w:tmpl w:val="77BAB41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proofState w:spelling="clean" w:grammar="clean"/>
  <w:trackRevision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6969"/>
    <w:rsid w:val="00011130"/>
    <w:rsid w:val="0004030E"/>
    <w:rsid w:val="00041AF2"/>
    <w:rsid w:val="00042B53"/>
    <w:rsid w:val="00064B17"/>
    <w:rsid w:val="00080550"/>
    <w:rsid w:val="00082A62"/>
    <w:rsid w:val="000A645A"/>
    <w:rsid w:val="00165847"/>
    <w:rsid w:val="00165D32"/>
    <w:rsid w:val="00167784"/>
    <w:rsid w:val="001827CB"/>
    <w:rsid w:val="001831CB"/>
    <w:rsid w:val="001845B0"/>
    <w:rsid w:val="001D4FA8"/>
    <w:rsid w:val="001D548F"/>
    <w:rsid w:val="001E6092"/>
    <w:rsid w:val="001F517A"/>
    <w:rsid w:val="00210741"/>
    <w:rsid w:val="00237930"/>
    <w:rsid w:val="0024673C"/>
    <w:rsid w:val="00255F5C"/>
    <w:rsid w:val="00284C8D"/>
    <w:rsid w:val="00293DBD"/>
    <w:rsid w:val="002F4651"/>
    <w:rsid w:val="003549D6"/>
    <w:rsid w:val="00396D8A"/>
    <w:rsid w:val="003B34F0"/>
    <w:rsid w:val="003D5462"/>
    <w:rsid w:val="004057A8"/>
    <w:rsid w:val="004A2B12"/>
    <w:rsid w:val="004A31F5"/>
    <w:rsid w:val="004A5479"/>
    <w:rsid w:val="004F1A53"/>
    <w:rsid w:val="005045DF"/>
    <w:rsid w:val="005110A4"/>
    <w:rsid w:val="00526960"/>
    <w:rsid w:val="00577358"/>
    <w:rsid w:val="005A12DF"/>
    <w:rsid w:val="005F4B18"/>
    <w:rsid w:val="00602299"/>
    <w:rsid w:val="006334DE"/>
    <w:rsid w:val="00637790"/>
    <w:rsid w:val="00667772"/>
    <w:rsid w:val="006C2AA0"/>
    <w:rsid w:val="00717048"/>
    <w:rsid w:val="00791F28"/>
    <w:rsid w:val="007A739C"/>
    <w:rsid w:val="007C7D57"/>
    <w:rsid w:val="007D21BD"/>
    <w:rsid w:val="007D5167"/>
    <w:rsid w:val="0084219B"/>
    <w:rsid w:val="00844552"/>
    <w:rsid w:val="0085059C"/>
    <w:rsid w:val="00854059"/>
    <w:rsid w:val="008A29A9"/>
    <w:rsid w:val="00997EB5"/>
    <w:rsid w:val="009C3843"/>
    <w:rsid w:val="00A36969"/>
    <w:rsid w:val="00A70730"/>
    <w:rsid w:val="00AA55D7"/>
    <w:rsid w:val="00AB1AF7"/>
    <w:rsid w:val="00AC0188"/>
    <w:rsid w:val="00B34807"/>
    <w:rsid w:val="00B501FE"/>
    <w:rsid w:val="00BA45F8"/>
    <w:rsid w:val="00BB165F"/>
    <w:rsid w:val="00C26D5E"/>
    <w:rsid w:val="00C34091"/>
    <w:rsid w:val="00C714D2"/>
    <w:rsid w:val="00C92A2D"/>
    <w:rsid w:val="00CA0512"/>
    <w:rsid w:val="00CA3410"/>
    <w:rsid w:val="00CD2848"/>
    <w:rsid w:val="00CD65BA"/>
    <w:rsid w:val="00CF379B"/>
    <w:rsid w:val="00D079ED"/>
    <w:rsid w:val="00D473A5"/>
    <w:rsid w:val="00DA002E"/>
    <w:rsid w:val="00DB17DB"/>
    <w:rsid w:val="00DF4802"/>
    <w:rsid w:val="00E20848"/>
    <w:rsid w:val="00E27501"/>
    <w:rsid w:val="00E44B09"/>
    <w:rsid w:val="00E64ADA"/>
    <w:rsid w:val="00E704E3"/>
    <w:rsid w:val="00EA2458"/>
    <w:rsid w:val="00F11D65"/>
    <w:rsid w:val="00F31246"/>
    <w:rsid w:val="00F318FD"/>
    <w:rsid w:val="00FA228D"/>
    <w:rsid w:val="00FB7E2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80443A"/>
  <w14:defaultImageDpi w14:val="32767"/>
  <w15:chartTrackingRefBased/>
  <w15:docId w15:val="{609D0190-7C60-8141-9A4A-E18962BE64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2F4651"/>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berschrift2">
    <w:name w:val="heading 2"/>
    <w:basedOn w:val="Standard"/>
    <w:next w:val="Standard"/>
    <w:link w:val="berschrift2Zchn"/>
    <w:uiPriority w:val="9"/>
    <w:unhideWhenUsed/>
    <w:qFormat/>
    <w:rsid w:val="007A739C"/>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berschrift3">
    <w:name w:val="heading 3"/>
    <w:basedOn w:val="Standard"/>
    <w:next w:val="Standard"/>
    <w:link w:val="berschrift3Zchn"/>
    <w:uiPriority w:val="9"/>
    <w:unhideWhenUsed/>
    <w:qFormat/>
    <w:rsid w:val="007A739C"/>
    <w:pPr>
      <w:keepNext/>
      <w:keepLines/>
      <w:spacing w:before="40"/>
      <w:outlineLvl w:val="2"/>
    </w:pPr>
    <w:rPr>
      <w:rFonts w:asciiTheme="majorHAnsi" w:eastAsiaTheme="majorEastAsia" w:hAnsiTheme="majorHAnsi" w:cstheme="majorBidi"/>
      <w:color w:val="1F3763" w:themeColor="accent1" w:themeShade="7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2Zchn">
    <w:name w:val="Überschrift 2 Zchn"/>
    <w:basedOn w:val="Absatz-Standardschriftart"/>
    <w:link w:val="berschrift2"/>
    <w:uiPriority w:val="9"/>
    <w:rsid w:val="007A739C"/>
    <w:rPr>
      <w:rFonts w:asciiTheme="majorHAnsi" w:eastAsiaTheme="majorEastAsia" w:hAnsiTheme="majorHAnsi" w:cstheme="majorBidi"/>
      <w:color w:val="2F5496" w:themeColor="accent1" w:themeShade="BF"/>
      <w:sz w:val="26"/>
      <w:szCs w:val="26"/>
    </w:rPr>
  </w:style>
  <w:style w:type="character" w:customStyle="1" w:styleId="berschrift3Zchn">
    <w:name w:val="Überschrift 3 Zchn"/>
    <w:basedOn w:val="Absatz-Standardschriftart"/>
    <w:link w:val="berschrift3"/>
    <w:uiPriority w:val="9"/>
    <w:rsid w:val="007A739C"/>
    <w:rPr>
      <w:rFonts w:asciiTheme="majorHAnsi" w:eastAsiaTheme="majorEastAsia" w:hAnsiTheme="majorHAnsi" w:cstheme="majorBidi"/>
      <w:color w:val="1F3763" w:themeColor="accent1" w:themeShade="7F"/>
    </w:rPr>
  </w:style>
  <w:style w:type="paragraph" w:styleId="Listenabsatz">
    <w:name w:val="List Paragraph"/>
    <w:basedOn w:val="Standard"/>
    <w:uiPriority w:val="34"/>
    <w:qFormat/>
    <w:rsid w:val="001827CB"/>
    <w:pPr>
      <w:ind w:left="720"/>
      <w:contextualSpacing/>
    </w:pPr>
  </w:style>
  <w:style w:type="character" w:customStyle="1" w:styleId="apple-converted-space">
    <w:name w:val="apple-converted-space"/>
    <w:basedOn w:val="Absatz-Standardschriftart"/>
    <w:rsid w:val="001827CB"/>
  </w:style>
  <w:style w:type="character" w:customStyle="1" w:styleId="berschrift1Zchn">
    <w:name w:val="Überschrift 1 Zchn"/>
    <w:basedOn w:val="Absatz-Standardschriftart"/>
    <w:link w:val="berschrift1"/>
    <w:uiPriority w:val="9"/>
    <w:rsid w:val="002F4651"/>
    <w:rPr>
      <w:rFonts w:asciiTheme="majorHAnsi" w:eastAsiaTheme="majorEastAsia" w:hAnsiTheme="majorHAnsi" w:cstheme="majorBidi"/>
      <w:color w:val="2F5496" w:themeColor="accent1" w:themeShade="BF"/>
      <w:sz w:val="32"/>
      <w:szCs w:val="32"/>
    </w:rPr>
  </w:style>
  <w:style w:type="character" w:styleId="Hyperlink">
    <w:name w:val="Hyperlink"/>
    <w:basedOn w:val="Absatz-Standardschriftart"/>
    <w:uiPriority w:val="99"/>
    <w:unhideWhenUsed/>
    <w:rsid w:val="00CD65BA"/>
    <w:rPr>
      <w:color w:val="0563C1" w:themeColor="hyperlink"/>
      <w:u w:val="single"/>
    </w:rPr>
  </w:style>
  <w:style w:type="character" w:styleId="NichtaufgelsteErwhnung">
    <w:name w:val="Unresolved Mention"/>
    <w:basedOn w:val="Absatz-Standardschriftart"/>
    <w:uiPriority w:val="99"/>
    <w:rsid w:val="00CD65BA"/>
    <w:rPr>
      <w:color w:val="605E5C"/>
      <w:shd w:val="clear" w:color="auto" w:fill="E1DFDD"/>
    </w:rPr>
  </w:style>
  <w:style w:type="character" w:styleId="BesuchterLink">
    <w:name w:val="FollowedHyperlink"/>
    <w:basedOn w:val="Absatz-Standardschriftart"/>
    <w:uiPriority w:val="99"/>
    <w:semiHidden/>
    <w:unhideWhenUsed/>
    <w:rsid w:val="00CD65BA"/>
    <w:rPr>
      <w:color w:val="954F72" w:themeColor="followedHyperlink"/>
      <w:u w:val="single"/>
    </w:rPr>
  </w:style>
  <w:style w:type="character" w:styleId="Kommentarzeichen">
    <w:name w:val="annotation reference"/>
    <w:basedOn w:val="Absatz-Standardschriftart"/>
    <w:uiPriority w:val="99"/>
    <w:semiHidden/>
    <w:unhideWhenUsed/>
    <w:rsid w:val="00BA45F8"/>
    <w:rPr>
      <w:sz w:val="16"/>
      <w:szCs w:val="16"/>
    </w:rPr>
  </w:style>
  <w:style w:type="paragraph" w:styleId="Kommentartext">
    <w:name w:val="annotation text"/>
    <w:basedOn w:val="Standard"/>
    <w:link w:val="KommentartextZchn"/>
    <w:uiPriority w:val="99"/>
    <w:semiHidden/>
    <w:unhideWhenUsed/>
    <w:rsid w:val="00BA45F8"/>
    <w:rPr>
      <w:sz w:val="20"/>
      <w:szCs w:val="20"/>
    </w:rPr>
  </w:style>
  <w:style w:type="character" w:customStyle="1" w:styleId="KommentartextZchn">
    <w:name w:val="Kommentartext Zchn"/>
    <w:basedOn w:val="Absatz-Standardschriftart"/>
    <w:link w:val="Kommentartext"/>
    <w:uiPriority w:val="99"/>
    <w:semiHidden/>
    <w:rsid w:val="00BA45F8"/>
    <w:rPr>
      <w:sz w:val="20"/>
      <w:szCs w:val="20"/>
    </w:rPr>
  </w:style>
  <w:style w:type="paragraph" w:styleId="Kommentarthema">
    <w:name w:val="annotation subject"/>
    <w:basedOn w:val="Kommentartext"/>
    <w:next w:val="Kommentartext"/>
    <w:link w:val="KommentarthemaZchn"/>
    <w:uiPriority w:val="99"/>
    <w:semiHidden/>
    <w:unhideWhenUsed/>
    <w:rsid w:val="00BA45F8"/>
    <w:rPr>
      <w:b/>
      <w:bCs/>
    </w:rPr>
  </w:style>
  <w:style w:type="character" w:customStyle="1" w:styleId="KommentarthemaZchn">
    <w:name w:val="Kommentarthema Zchn"/>
    <w:basedOn w:val="KommentartextZchn"/>
    <w:link w:val="Kommentarthema"/>
    <w:uiPriority w:val="99"/>
    <w:semiHidden/>
    <w:rsid w:val="00BA45F8"/>
    <w:rPr>
      <w:b/>
      <w:bCs/>
      <w:sz w:val="20"/>
      <w:szCs w:val="20"/>
    </w:rPr>
  </w:style>
  <w:style w:type="paragraph" w:styleId="Sprechblasentext">
    <w:name w:val="Balloon Text"/>
    <w:basedOn w:val="Standard"/>
    <w:link w:val="SprechblasentextZchn"/>
    <w:uiPriority w:val="99"/>
    <w:semiHidden/>
    <w:unhideWhenUsed/>
    <w:rsid w:val="00BA45F8"/>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BA45F8"/>
    <w:rPr>
      <w:rFonts w:ascii="Segoe UI" w:hAnsi="Segoe UI" w:cs="Segoe UI"/>
      <w:sz w:val="18"/>
      <w:szCs w:val="18"/>
    </w:rPr>
  </w:style>
  <w:style w:type="paragraph" w:styleId="Kopfzeile">
    <w:name w:val="header"/>
    <w:basedOn w:val="Standard"/>
    <w:link w:val="KopfzeileZchn"/>
    <w:uiPriority w:val="99"/>
    <w:unhideWhenUsed/>
    <w:rsid w:val="00E27501"/>
    <w:pPr>
      <w:tabs>
        <w:tab w:val="center" w:pos="4536"/>
        <w:tab w:val="right" w:pos="9072"/>
      </w:tabs>
    </w:pPr>
  </w:style>
  <w:style w:type="character" w:customStyle="1" w:styleId="KopfzeileZchn">
    <w:name w:val="Kopfzeile Zchn"/>
    <w:basedOn w:val="Absatz-Standardschriftart"/>
    <w:link w:val="Kopfzeile"/>
    <w:uiPriority w:val="99"/>
    <w:rsid w:val="00E27501"/>
  </w:style>
  <w:style w:type="paragraph" w:styleId="Fuzeile">
    <w:name w:val="footer"/>
    <w:basedOn w:val="Standard"/>
    <w:link w:val="FuzeileZchn"/>
    <w:uiPriority w:val="99"/>
    <w:unhideWhenUsed/>
    <w:rsid w:val="00E27501"/>
    <w:pPr>
      <w:tabs>
        <w:tab w:val="center" w:pos="4536"/>
        <w:tab w:val="right" w:pos="9072"/>
      </w:tabs>
    </w:pPr>
  </w:style>
  <w:style w:type="character" w:customStyle="1" w:styleId="FuzeileZchn">
    <w:name w:val="Fußzeile Zchn"/>
    <w:basedOn w:val="Absatz-Standardschriftart"/>
    <w:link w:val="Fuzeile"/>
    <w:uiPriority w:val="99"/>
    <w:rsid w:val="00E2750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5837234">
      <w:bodyDiv w:val="1"/>
      <w:marLeft w:val="0"/>
      <w:marRight w:val="0"/>
      <w:marTop w:val="0"/>
      <w:marBottom w:val="0"/>
      <w:divBdr>
        <w:top w:val="none" w:sz="0" w:space="0" w:color="auto"/>
        <w:left w:val="none" w:sz="0" w:space="0" w:color="auto"/>
        <w:bottom w:val="none" w:sz="0" w:space="0" w:color="auto"/>
        <w:right w:val="none" w:sz="0" w:space="0" w:color="auto"/>
      </w:divBdr>
    </w:div>
    <w:div w:id="497379359">
      <w:bodyDiv w:val="1"/>
      <w:marLeft w:val="0"/>
      <w:marRight w:val="0"/>
      <w:marTop w:val="0"/>
      <w:marBottom w:val="0"/>
      <w:divBdr>
        <w:top w:val="none" w:sz="0" w:space="0" w:color="auto"/>
        <w:left w:val="none" w:sz="0" w:space="0" w:color="auto"/>
        <w:bottom w:val="none" w:sz="0" w:space="0" w:color="auto"/>
        <w:right w:val="none" w:sz="0" w:space="0" w:color="auto"/>
      </w:divBdr>
    </w:div>
    <w:div w:id="933972591">
      <w:bodyDiv w:val="1"/>
      <w:marLeft w:val="0"/>
      <w:marRight w:val="0"/>
      <w:marTop w:val="0"/>
      <w:marBottom w:val="0"/>
      <w:divBdr>
        <w:top w:val="none" w:sz="0" w:space="0" w:color="auto"/>
        <w:left w:val="none" w:sz="0" w:space="0" w:color="auto"/>
        <w:bottom w:val="none" w:sz="0" w:space="0" w:color="auto"/>
        <w:right w:val="none" w:sz="0" w:space="0" w:color="auto"/>
      </w:divBdr>
    </w:div>
    <w:div w:id="1096484658">
      <w:bodyDiv w:val="1"/>
      <w:marLeft w:val="0"/>
      <w:marRight w:val="0"/>
      <w:marTop w:val="0"/>
      <w:marBottom w:val="0"/>
      <w:divBdr>
        <w:top w:val="none" w:sz="0" w:space="0" w:color="auto"/>
        <w:left w:val="none" w:sz="0" w:space="0" w:color="auto"/>
        <w:bottom w:val="none" w:sz="0" w:space="0" w:color="auto"/>
        <w:right w:val="none" w:sz="0" w:space="0" w:color="auto"/>
      </w:divBdr>
    </w:div>
    <w:div w:id="1211302562">
      <w:bodyDiv w:val="1"/>
      <w:marLeft w:val="0"/>
      <w:marRight w:val="0"/>
      <w:marTop w:val="0"/>
      <w:marBottom w:val="0"/>
      <w:divBdr>
        <w:top w:val="none" w:sz="0" w:space="0" w:color="auto"/>
        <w:left w:val="none" w:sz="0" w:space="0" w:color="auto"/>
        <w:bottom w:val="none" w:sz="0" w:space="0" w:color="auto"/>
        <w:right w:val="none" w:sz="0" w:space="0" w:color="auto"/>
      </w:divBdr>
    </w:div>
    <w:div w:id="15419380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static.secomba.com/press-releases/de/Positionspapier_Boxcryptor_E2EE_EU_Resolution_DE.pdf"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jp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www.boxcryptor.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static.secomba.com/press-releases/de/Positionspapier_Boxcryptor_E2EE_EU_Resolution_DE.pdf" TargetMode="External"/><Relationship Id="rId5" Type="http://schemas.openxmlformats.org/officeDocument/2006/relationships/numbering" Target="numbering.xml"/><Relationship Id="rId15" Type="http://schemas.openxmlformats.org/officeDocument/2006/relationships/hyperlink" Target="mailto:lf@secomba.com" TargetMode="Externa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boxcryptor.com" TargetMode="Externa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99250D4BAA129940A00BBC19CDBBDFA8" ma:contentTypeVersion="4" ma:contentTypeDescription="Ein neues Dokument erstellen." ma:contentTypeScope="" ma:versionID="b08b16f6c03b70b01d781b68da551751">
  <xsd:schema xmlns:xsd="http://www.w3.org/2001/XMLSchema" xmlns:xs="http://www.w3.org/2001/XMLSchema" xmlns:p="http://schemas.microsoft.com/office/2006/metadata/properties" xmlns:ns3="9a201bb8-d409-45dc-825b-8bf15c086676" targetNamespace="http://schemas.microsoft.com/office/2006/metadata/properties" ma:root="true" ma:fieldsID="c2fcaad8aa60a414527f0769e83181d2" ns3:_="">
    <xsd:import namespace="9a201bb8-d409-45dc-825b-8bf15c086676"/>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a201bb8-d409-45dc-825b-8bf15c0866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69C548-71FD-420E-9B38-FCEA5FECE505}">
  <ds:schemaRefs>
    <ds:schemaRef ds:uri="http://schemas.microsoft.com/sharepoint/v3/contenttype/forms"/>
  </ds:schemaRefs>
</ds:datastoreItem>
</file>

<file path=customXml/itemProps2.xml><?xml version="1.0" encoding="utf-8"?>
<ds:datastoreItem xmlns:ds="http://schemas.openxmlformats.org/officeDocument/2006/customXml" ds:itemID="{73A6104E-9BCD-4863-8723-D4C7C260DD09}">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5FFB90AB-C8CD-49D7-B580-C4903B15C58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a201bb8-d409-45dc-825b-8bf15c08667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5746C78-468E-4877-820C-9ECA048649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857</Words>
  <Characters>5402</Characters>
  <Application>Microsoft Office Word</Application>
  <DocSecurity>0</DocSecurity>
  <Lines>45</Lines>
  <Paragraphs>12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6247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 Figas</dc:creator>
  <cp:keywords/>
  <dc:description/>
  <cp:lastModifiedBy>Johanna Reisacher</cp:lastModifiedBy>
  <cp:revision>6</cp:revision>
  <cp:lastPrinted>2020-11-10T07:28:00Z</cp:lastPrinted>
  <dcterms:created xsi:type="dcterms:W3CDTF">2020-11-10T07:20:00Z</dcterms:created>
  <dcterms:modified xsi:type="dcterms:W3CDTF">2020-11-11T13:49:00Z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0x01010099250D4BAA129940A00BBC19CDBBDFA8</vt:lpwstr>
  </property>
</Properties>
</file>